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085B5">
      <w:pPr>
        <w:widowControl/>
        <w:spacing w:line="450" w:lineRule="atLeast"/>
        <w:jc w:val="center"/>
        <w:rPr>
          <w:rFonts w:cs="宋体" w:asciiTheme="minorEastAsia" w:hAnsiTheme="minorEastAsia"/>
          <w:b/>
          <w:bCs/>
          <w:color w:val="D70C19"/>
          <w:kern w:val="0"/>
          <w:sz w:val="28"/>
          <w:szCs w:val="21"/>
        </w:rPr>
      </w:pPr>
      <w:r>
        <w:rPr>
          <w:rFonts w:hint="eastAsia" w:cs="宋体" w:asciiTheme="minorEastAsia" w:hAnsiTheme="minorEastAsia"/>
          <w:b/>
          <w:bCs/>
          <w:color w:val="D70C19"/>
          <w:kern w:val="0"/>
          <w:sz w:val="28"/>
          <w:szCs w:val="21"/>
        </w:rPr>
        <w:t>方正富邦</w:t>
      </w:r>
      <w:r>
        <w:rPr>
          <w:rFonts w:hint="eastAsia" w:cs="宋体" w:asciiTheme="minorEastAsia" w:hAnsiTheme="minorEastAsia"/>
          <w:b/>
          <w:bCs/>
          <w:color w:val="D70C19"/>
          <w:kern w:val="0"/>
          <w:sz w:val="28"/>
          <w:szCs w:val="21"/>
          <w:lang w:val="en-US" w:eastAsia="zh-CN"/>
        </w:rPr>
        <w:t>中证同业存单AAA指数7天持有期证券</w:t>
      </w:r>
      <w:r>
        <w:rPr>
          <w:rFonts w:hint="eastAsia" w:cs="宋体" w:asciiTheme="minorEastAsia" w:hAnsiTheme="minorEastAsia"/>
          <w:b/>
          <w:bCs/>
          <w:color w:val="D70C19"/>
          <w:kern w:val="0"/>
          <w:sz w:val="28"/>
          <w:szCs w:val="21"/>
        </w:rPr>
        <w:t>投资基金</w:t>
      </w:r>
    </w:p>
    <w:p w14:paraId="68877651">
      <w:pPr>
        <w:widowControl/>
        <w:spacing w:line="450" w:lineRule="atLeast"/>
        <w:jc w:val="center"/>
        <w:rPr>
          <w:rFonts w:cs="宋体" w:asciiTheme="minorEastAsia" w:hAnsiTheme="minorEastAsia"/>
          <w:b/>
          <w:bCs/>
          <w:color w:val="D70C19"/>
          <w:kern w:val="0"/>
          <w:sz w:val="28"/>
          <w:szCs w:val="21"/>
        </w:rPr>
      </w:pPr>
      <w:r>
        <w:rPr>
          <w:rFonts w:hint="eastAsia" w:cs="宋体" w:asciiTheme="minorEastAsia" w:hAnsiTheme="minorEastAsia"/>
          <w:b/>
          <w:bCs/>
          <w:color w:val="D70C19"/>
          <w:kern w:val="0"/>
          <w:sz w:val="28"/>
          <w:szCs w:val="21"/>
        </w:rPr>
        <w:t>暂停</w:t>
      </w:r>
      <w:r>
        <w:rPr>
          <w:rFonts w:hint="eastAsia" w:cs="宋体" w:asciiTheme="minorEastAsia" w:hAnsiTheme="minorEastAsia"/>
          <w:b/>
          <w:bCs/>
          <w:color w:val="D70C19"/>
          <w:kern w:val="0"/>
          <w:sz w:val="28"/>
          <w:szCs w:val="21"/>
          <w:highlight w:val="none"/>
          <w:lang w:val="en-US" w:eastAsia="zh-CN"/>
        </w:rPr>
        <w:t>及恢复代销渠道</w:t>
      </w:r>
      <w:r>
        <w:rPr>
          <w:rFonts w:hint="eastAsia" w:cs="宋体" w:asciiTheme="minorEastAsia" w:hAnsiTheme="minorEastAsia"/>
          <w:b/>
          <w:bCs/>
          <w:color w:val="D70C19"/>
          <w:kern w:val="0"/>
          <w:sz w:val="28"/>
          <w:szCs w:val="21"/>
        </w:rPr>
        <w:t>大额申购(</w:t>
      </w:r>
      <w:r>
        <w:rPr>
          <w:rFonts w:hint="eastAsia" w:cs="宋体" w:asciiTheme="minorEastAsia" w:hAnsiTheme="minorEastAsia"/>
          <w:b/>
          <w:bCs/>
          <w:color w:val="D70C19"/>
          <w:kern w:val="0"/>
          <w:sz w:val="28"/>
          <w:szCs w:val="21"/>
          <w:lang w:val="en-US" w:eastAsia="zh-CN"/>
        </w:rPr>
        <w:t>含</w:t>
      </w:r>
      <w:r>
        <w:rPr>
          <w:rFonts w:hint="eastAsia" w:cs="宋体" w:asciiTheme="minorEastAsia" w:hAnsiTheme="minorEastAsia"/>
          <w:b/>
          <w:bCs/>
          <w:color w:val="D70C19"/>
          <w:kern w:val="0"/>
          <w:sz w:val="28"/>
          <w:szCs w:val="21"/>
        </w:rPr>
        <w:t>定期定额投资)、转换转入业务的公告</w:t>
      </w:r>
    </w:p>
    <w:p w14:paraId="5ADF5C8E">
      <w:pPr>
        <w:widowControl/>
        <w:spacing w:line="360" w:lineRule="auto"/>
        <w:jc w:val="center"/>
        <w:rPr>
          <w:rFonts w:cs="宋体" w:asciiTheme="minorEastAsia" w:hAnsiTheme="minorEastAsia"/>
          <w:kern w:val="0"/>
          <w:szCs w:val="21"/>
        </w:rPr>
      </w:pPr>
      <w:r>
        <w:rPr>
          <w:rFonts w:hint="eastAsia" w:cs="宋体" w:asciiTheme="minorEastAsia" w:hAnsiTheme="minorEastAsia"/>
          <w:kern w:val="0"/>
          <w:szCs w:val="21"/>
        </w:rPr>
        <w:t>公告送出日期：20</w:t>
      </w:r>
      <w:r>
        <w:rPr>
          <w:rFonts w:hint="eastAsia" w:cs="宋体" w:asciiTheme="minorEastAsia" w:hAnsiTheme="minorEastAsia"/>
          <w:kern w:val="0"/>
          <w:szCs w:val="21"/>
          <w:lang w:val="en-US" w:eastAsia="zh-CN"/>
        </w:rPr>
        <w:t>26</w:t>
      </w:r>
      <w:r>
        <w:rPr>
          <w:rFonts w:hint="eastAsia" w:cs="宋体" w:asciiTheme="minorEastAsia" w:hAnsiTheme="minorEastAsia"/>
          <w:kern w:val="0"/>
          <w:szCs w:val="21"/>
        </w:rPr>
        <w:t>年</w:t>
      </w:r>
      <w:r>
        <w:rPr>
          <w:rFonts w:hint="eastAsia" w:cs="宋体" w:asciiTheme="minorEastAsia" w:hAnsiTheme="minorEastAsia"/>
          <w:kern w:val="0"/>
          <w:szCs w:val="21"/>
          <w:lang w:val="en-US" w:eastAsia="zh-CN"/>
        </w:rPr>
        <w:t>10</w:t>
      </w:r>
      <w:r>
        <w:rPr>
          <w:rFonts w:hint="eastAsia" w:cs="宋体" w:asciiTheme="minorEastAsia" w:hAnsiTheme="minorEastAsia"/>
          <w:kern w:val="0"/>
          <w:szCs w:val="21"/>
        </w:rPr>
        <w:t>月</w:t>
      </w:r>
      <w:r>
        <w:rPr>
          <w:rFonts w:hint="eastAsia" w:cs="宋体" w:asciiTheme="minorEastAsia" w:hAnsiTheme="minorEastAsia"/>
          <w:kern w:val="0"/>
          <w:szCs w:val="21"/>
          <w:lang w:val="en-US" w:eastAsia="zh-CN"/>
        </w:rPr>
        <w:t>28</w:t>
      </w:r>
      <w:r>
        <w:rPr>
          <w:rFonts w:hint="eastAsia" w:cs="宋体" w:asciiTheme="minorEastAsia" w:hAnsiTheme="minorEastAsia"/>
          <w:kern w:val="0"/>
          <w:szCs w:val="21"/>
        </w:rPr>
        <w:t>日</w:t>
      </w:r>
    </w:p>
    <w:p w14:paraId="1B81E7CE">
      <w:pPr>
        <w:widowControl/>
        <w:spacing w:line="360" w:lineRule="auto"/>
        <w:ind w:firstLine="422" w:firstLineChars="200"/>
        <w:jc w:val="left"/>
        <w:rPr>
          <w:rFonts w:hint="eastAsia" w:cs="宋体" w:asciiTheme="minorEastAsia" w:hAnsiTheme="minorEastAsia" w:eastAsiaTheme="minorEastAsia"/>
          <w:kern w:val="0"/>
          <w:szCs w:val="21"/>
          <w:lang w:val="en-US" w:eastAsia="zh-CN"/>
        </w:rPr>
      </w:pPr>
      <w:r>
        <w:rPr>
          <w:rFonts w:hint="eastAsia" w:cs="宋体" w:asciiTheme="minorEastAsia" w:hAnsiTheme="minorEastAsia"/>
          <w:b/>
          <w:bCs/>
          <w:kern w:val="0"/>
          <w:szCs w:val="21"/>
        </w:rPr>
        <w:t>1 公告基本信息</w:t>
      </w:r>
      <w:r>
        <w:rPr>
          <w:rFonts w:hint="eastAsia" w:cs="宋体" w:asciiTheme="minorEastAsia" w:hAnsiTheme="minorEastAsia"/>
          <w:b/>
          <w:bCs/>
          <w:kern w:val="0"/>
          <w:szCs w:val="21"/>
          <w:lang w:val="en-US" w:eastAsia="zh-CN"/>
        </w:rPr>
        <w:tab/>
      </w:r>
    </w:p>
    <w:tbl>
      <w:tblPr>
        <w:tblStyle w:val="6"/>
        <w:tblW w:w="0" w:type="auto"/>
        <w:tblInd w:w="0" w:type="dxa"/>
        <w:tblLayout w:type="autofit"/>
        <w:tblCellMar>
          <w:top w:w="0" w:type="dxa"/>
          <w:left w:w="0" w:type="dxa"/>
          <w:bottom w:w="0" w:type="dxa"/>
          <w:right w:w="0" w:type="dxa"/>
        </w:tblCellMar>
      </w:tblPr>
      <w:tblGrid>
        <w:gridCol w:w="2221"/>
        <w:gridCol w:w="2883"/>
        <w:gridCol w:w="3411"/>
      </w:tblGrid>
      <w:tr w14:paraId="5A8F66F1">
        <w:tblPrEx>
          <w:tblCellMar>
            <w:top w:w="0" w:type="dxa"/>
            <w:left w:w="0" w:type="dxa"/>
            <w:bottom w:w="0" w:type="dxa"/>
            <w:right w:w="0" w:type="dxa"/>
          </w:tblCellMar>
        </w:tblPrEx>
        <w:trPr>
          <w:trHeight w:val="300" w:hRule="atLeast"/>
        </w:trPr>
        <w:tc>
          <w:tcPr>
            <w:tcW w:w="222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BEC33DA">
            <w:pPr>
              <w:widowControl/>
              <w:spacing w:line="360" w:lineRule="auto"/>
              <w:jc w:val="left"/>
              <w:rPr>
                <w:rFonts w:hint="eastAsia" w:cs="宋体" w:asciiTheme="minorEastAsia" w:hAnsiTheme="minorEastAsia" w:eastAsiaTheme="minorEastAsia"/>
                <w:kern w:val="0"/>
                <w:sz w:val="21"/>
                <w:szCs w:val="21"/>
                <w:lang w:val="en-US" w:eastAsia="zh-CN" w:bidi="ar-SA"/>
              </w:rPr>
            </w:pPr>
            <w:r>
              <w:rPr>
                <w:rFonts w:hint="eastAsia" w:cs="宋体" w:asciiTheme="minorEastAsia" w:hAnsiTheme="minorEastAsia"/>
                <w:kern w:val="0"/>
                <w:szCs w:val="21"/>
              </w:rPr>
              <w:t>基金名称</w:t>
            </w:r>
          </w:p>
        </w:tc>
        <w:tc>
          <w:tcPr>
            <w:tcW w:w="6294" w:type="dxa"/>
            <w:gridSpan w:val="2"/>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D2EA8C9">
            <w:pPr>
              <w:widowControl/>
              <w:spacing w:line="360" w:lineRule="auto"/>
              <w:jc w:val="left"/>
              <w:rPr>
                <w:rFonts w:cs="宋体" w:asciiTheme="minorEastAsia" w:hAnsiTheme="minorEastAsia"/>
                <w:kern w:val="0"/>
                <w:szCs w:val="21"/>
              </w:rPr>
            </w:pPr>
            <w:r>
              <w:rPr>
                <w:rFonts w:hint="eastAsia" w:cs="宋体" w:asciiTheme="minorEastAsia" w:hAnsiTheme="minorEastAsia"/>
                <w:kern w:val="0"/>
                <w:szCs w:val="21"/>
              </w:rPr>
              <w:t>方正富邦中证同业存单AAA指数7天持有期证券投资基金</w:t>
            </w:r>
          </w:p>
        </w:tc>
      </w:tr>
      <w:tr w14:paraId="24B44FA6">
        <w:tblPrEx>
          <w:tblCellMar>
            <w:top w:w="0" w:type="dxa"/>
            <w:left w:w="0" w:type="dxa"/>
            <w:bottom w:w="0" w:type="dxa"/>
            <w:right w:w="0" w:type="dxa"/>
          </w:tblCellMar>
        </w:tblPrEx>
        <w:trPr>
          <w:trHeight w:val="391" w:hRule="atLeast"/>
        </w:trPr>
        <w:tc>
          <w:tcPr>
            <w:tcW w:w="222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E1658D6">
            <w:pPr>
              <w:widowControl/>
              <w:spacing w:line="360" w:lineRule="auto"/>
              <w:jc w:val="left"/>
              <w:rPr>
                <w:rFonts w:hint="eastAsia" w:cs="宋体" w:asciiTheme="minorEastAsia" w:hAnsiTheme="minorEastAsia" w:eastAsiaTheme="minorEastAsia"/>
                <w:kern w:val="0"/>
                <w:sz w:val="21"/>
                <w:szCs w:val="21"/>
                <w:lang w:val="en-US" w:eastAsia="zh-CN" w:bidi="ar-SA"/>
              </w:rPr>
            </w:pPr>
            <w:r>
              <w:rPr>
                <w:rFonts w:hint="eastAsia" w:cs="宋体" w:asciiTheme="minorEastAsia" w:hAnsiTheme="minorEastAsia"/>
                <w:kern w:val="0"/>
                <w:szCs w:val="21"/>
              </w:rPr>
              <w:t>基金简称</w:t>
            </w:r>
          </w:p>
        </w:tc>
        <w:tc>
          <w:tcPr>
            <w:tcW w:w="6294" w:type="dxa"/>
            <w:gridSpan w:val="2"/>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955C610">
            <w:pPr>
              <w:widowControl/>
              <w:spacing w:line="360" w:lineRule="auto"/>
              <w:jc w:val="left"/>
              <w:rPr>
                <w:rFonts w:cs="宋体" w:asciiTheme="minorEastAsia" w:hAnsiTheme="minorEastAsia"/>
                <w:kern w:val="0"/>
                <w:szCs w:val="21"/>
              </w:rPr>
            </w:pPr>
            <w:r>
              <w:rPr>
                <w:rFonts w:hint="eastAsia" w:cs="宋体" w:asciiTheme="minorEastAsia" w:hAnsiTheme="minorEastAsia"/>
                <w:kern w:val="0"/>
                <w:szCs w:val="21"/>
              </w:rPr>
              <w:t>方正富邦中证</w:t>
            </w:r>
            <w:r>
              <w:rPr>
                <w:rFonts w:hint="eastAsia" w:cs="宋体" w:asciiTheme="minorEastAsia" w:hAnsiTheme="minorEastAsia"/>
                <w:kern w:val="0"/>
                <w:szCs w:val="21"/>
                <w:lang w:val="en-US" w:eastAsia="zh-CN"/>
              </w:rPr>
              <w:t>同业存单AAA指数7天持有</w:t>
            </w:r>
          </w:p>
        </w:tc>
      </w:tr>
      <w:tr w14:paraId="628F1CFA">
        <w:tblPrEx>
          <w:tblCellMar>
            <w:top w:w="0" w:type="dxa"/>
            <w:left w:w="0" w:type="dxa"/>
            <w:bottom w:w="0" w:type="dxa"/>
            <w:right w:w="0" w:type="dxa"/>
          </w:tblCellMar>
        </w:tblPrEx>
        <w:trPr>
          <w:trHeight w:val="300" w:hRule="atLeast"/>
        </w:trPr>
        <w:tc>
          <w:tcPr>
            <w:tcW w:w="222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4C264F6">
            <w:pPr>
              <w:widowControl/>
              <w:spacing w:line="360" w:lineRule="auto"/>
              <w:jc w:val="left"/>
              <w:rPr>
                <w:rFonts w:hint="eastAsia" w:cs="宋体" w:asciiTheme="minorEastAsia" w:hAnsiTheme="minorEastAsia" w:eastAsiaTheme="minorEastAsia"/>
                <w:kern w:val="0"/>
                <w:sz w:val="21"/>
                <w:szCs w:val="21"/>
                <w:lang w:val="en-US" w:eastAsia="zh-CN" w:bidi="ar-SA"/>
              </w:rPr>
            </w:pPr>
            <w:r>
              <w:rPr>
                <w:rFonts w:hint="eastAsia" w:cs="宋体" w:asciiTheme="minorEastAsia" w:hAnsiTheme="minorEastAsia"/>
                <w:kern w:val="0"/>
                <w:szCs w:val="21"/>
              </w:rPr>
              <w:t>基金主代码</w:t>
            </w:r>
          </w:p>
        </w:tc>
        <w:tc>
          <w:tcPr>
            <w:tcW w:w="6294" w:type="dxa"/>
            <w:gridSpan w:val="2"/>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09BAD9D9">
            <w:pPr>
              <w:widowControl/>
              <w:spacing w:line="360" w:lineRule="auto"/>
              <w:jc w:val="left"/>
              <w:rPr>
                <w:rFonts w:hint="default" w:cs="宋体" w:asciiTheme="minorEastAsia" w:hAnsiTheme="minorEastAsia" w:eastAsiaTheme="minorEastAsia"/>
                <w:kern w:val="0"/>
                <w:szCs w:val="21"/>
                <w:lang w:val="en-US" w:eastAsia="zh-CN"/>
              </w:rPr>
            </w:pPr>
            <w:r>
              <w:rPr>
                <w:rFonts w:hint="eastAsia" w:cs="宋体" w:asciiTheme="minorEastAsia" w:hAnsiTheme="minorEastAsia"/>
                <w:kern w:val="0"/>
                <w:szCs w:val="21"/>
                <w:lang w:val="en-US" w:eastAsia="zh-CN"/>
              </w:rPr>
              <w:t>017701</w:t>
            </w:r>
          </w:p>
        </w:tc>
      </w:tr>
      <w:tr w14:paraId="0C9BB085">
        <w:tblPrEx>
          <w:tblCellMar>
            <w:top w:w="0" w:type="dxa"/>
            <w:left w:w="0" w:type="dxa"/>
            <w:bottom w:w="0" w:type="dxa"/>
            <w:right w:w="0" w:type="dxa"/>
          </w:tblCellMar>
        </w:tblPrEx>
        <w:trPr>
          <w:trHeight w:val="327" w:hRule="atLeast"/>
        </w:trPr>
        <w:tc>
          <w:tcPr>
            <w:tcW w:w="222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86976B3">
            <w:pPr>
              <w:widowControl/>
              <w:spacing w:line="360" w:lineRule="auto"/>
              <w:jc w:val="left"/>
              <w:rPr>
                <w:rFonts w:hint="eastAsia" w:cs="宋体" w:asciiTheme="minorEastAsia" w:hAnsiTheme="minorEastAsia" w:eastAsiaTheme="minorEastAsia"/>
                <w:kern w:val="0"/>
                <w:sz w:val="21"/>
                <w:szCs w:val="21"/>
                <w:lang w:val="en-US" w:eastAsia="zh-CN" w:bidi="ar-SA"/>
              </w:rPr>
            </w:pPr>
            <w:r>
              <w:rPr>
                <w:rFonts w:hint="eastAsia" w:cs="宋体" w:asciiTheme="minorEastAsia" w:hAnsiTheme="minorEastAsia"/>
                <w:kern w:val="0"/>
                <w:szCs w:val="21"/>
              </w:rPr>
              <w:t>基金管理人名称</w:t>
            </w:r>
          </w:p>
        </w:tc>
        <w:tc>
          <w:tcPr>
            <w:tcW w:w="6294" w:type="dxa"/>
            <w:gridSpan w:val="2"/>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DF788B4">
            <w:pPr>
              <w:widowControl/>
              <w:spacing w:line="360" w:lineRule="auto"/>
              <w:jc w:val="left"/>
              <w:rPr>
                <w:rFonts w:cs="宋体" w:asciiTheme="minorEastAsia" w:hAnsiTheme="minorEastAsia"/>
                <w:kern w:val="0"/>
                <w:szCs w:val="21"/>
              </w:rPr>
            </w:pPr>
            <w:r>
              <w:rPr>
                <w:rFonts w:hint="eastAsia" w:cs="宋体" w:asciiTheme="minorEastAsia" w:hAnsiTheme="minorEastAsia"/>
                <w:kern w:val="0"/>
                <w:szCs w:val="21"/>
              </w:rPr>
              <w:t>方正富邦基金管理有限公司</w:t>
            </w:r>
          </w:p>
        </w:tc>
      </w:tr>
      <w:tr w14:paraId="2E62D2D1">
        <w:tblPrEx>
          <w:tblCellMar>
            <w:top w:w="0" w:type="dxa"/>
            <w:left w:w="0" w:type="dxa"/>
            <w:bottom w:w="0" w:type="dxa"/>
            <w:right w:w="0" w:type="dxa"/>
          </w:tblCellMar>
        </w:tblPrEx>
        <w:trPr>
          <w:trHeight w:val="1590" w:hRule="atLeast"/>
        </w:trPr>
        <w:tc>
          <w:tcPr>
            <w:tcW w:w="222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E8B0745">
            <w:pPr>
              <w:widowControl/>
              <w:spacing w:line="360" w:lineRule="auto"/>
              <w:jc w:val="left"/>
              <w:rPr>
                <w:rFonts w:hint="eastAsia" w:cs="宋体" w:asciiTheme="minorEastAsia" w:hAnsiTheme="minorEastAsia" w:eastAsiaTheme="minorEastAsia"/>
                <w:kern w:val="0"/>
                <w:sz w:val="21"/>
                <w:szCs w:val="21"/>
                <w:lang w:val="en-US" w:eastAsia="zh-CN" w:bidi="ar-SA"/>
              </w:rPr>
            </w:pPr>
            <w:r>
              <w:rPr>
                <w:rFonts w:hint="eastAsia" w:cs="宋体" w:asciiTheme="minorEastAsia" w:hAnsiTheme="minorEastAsia"/>
                <w:kern w:val="0"/>
                <w:szCs w:val="21"/>
              </w:rPr>
              <w:t>公告依据</w:t>
            </w:r>
          </w:p>
        </w:tc>
        <w:tc>
          <w:tcPr>
            <w:tcW w:w="6294" w:type="dxa"/>
            <w:gridSpan w:val="2"/>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5E21A27">
            <w:pPr>
              <w:widowControl/>
              <w:spacing w:line="360" w:lineRule="auto"/>
              <w:jc w:val="left"/>
              <w:rPr>
                <w:rFonts w:cs="宋体" w:asciiTheme="minorEastAsia" w:hAnsiTheme="minorEastAsia"/>
                <w:kern w:val="0"/>
                <w:szCs w:val="21"/>
              </w:rPr>
            </w:pPr>
            <w:r>
              <w:rPr>
                <w:rFonts w:hint="eastAsia" w:cs="宋体" w:asciiTheme="minorEastAsia" w:hAnsiTheme="minorEastAsia"/>
                <w:kern w:val="0"/>
                <w:szCs w:val="21"/>
              </w:rPr>
              <w:t>《中华人民共和国证券投资基金法》、《公开募集证券投资基金信息披露管理办法》等法律法规以及《方正富邦中证同业存单AAA指数7天持有期证券投资基金</w:t>
            </w:r>
            <w:r>
              <w:rPr>
                <w:rFonts w:hint="eastAsia" w:cs="宋体" w:asciiTheme="minorEastAsia" w:hAnsiTheme="minorEastAsia"/>
                <w:kern w:val="0"/>
                <w:szCs w:val="21"/>
                <w:lang w:val="en-US" w:eastAsia="zh-CN"/>
              </w:rPr>
              <w:t>基金</w:t>
            </w:r>
            <w:r>
              <w:rPr>
                <w:rFonts w:hint="eastAsia" w:cs="宋体" w:asciiTheme="minorEastAsia" w:hAnsiTheme="minorEastAsia"/>
                <w:kern w:val="0"/>
                <w:szCs w:val="21"/>
              </w:rPr>
              <w:t>合同》、《方正富邦中证同业存单AAA指数7天持有期证券投资基金招募说明书》等。</w:t>
            </w:r>
          </w:p>
        </w:tc>
      </w:tr>
      <w:tr w14:paraId="7C052B70">
        <w:tblPrEx>
          <w:tblCellMar>
            <w:top w:w="0" w:type="dxa"/>
            <w:left w:w="0" w:type="dxa"/>
            <w:bottom w:w="0" w:type="dxa"/>
            <w:right w:w="0" w:type="dxa"/>
          </w:tblCellMar>
        </w:tblPrEx>
        <w:trPr>
          <w:trHeight w:val="372" w:hRule="atLeast"/>
        </w:trPr>
        <w:tc>
          <w:tcPr>
            <w:tcW w:w="222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D64A81D">
            <w:pPr>
              <w:widowControl/>
              <w:spacing w:line="360" w:lineRule="auto"/>
              <w:jc w:val="left"/>
              <w:rPr>
                <w:rFonts w:hint="eastAsia"/>
                <w:szCs w:val="21"/>
              </w:rPr>
            </w:pPr>
            <w:r>
              <w:rPr>
                <w:rFonts w:hint="eastAsia"/>
                <w:szCs w:val="21"/>
              </w:rPr>
              <w:t>暂停</w:t>
            </w:r>
            <w:r>
              <w:rPr>
                <w:rFonts w:hint="eastAsia" w:cs="宋体" w:asciiTheme="minorEastAsia" w:hAnsiTheme="minorEastAsia"/>
                <w:kern w:val="0"/>
                <w:szCs w:val="21"/>
              </w:rPr>
              <w:t>相关业务的起始日、金额及原因说明</w:t>
            </w:r>
          </w:p>
        </w:tc>
        <w:tc>
          <w:tcPr>
            <w:tcW w:w="28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6323073">
            <w:pPr>
              <w:widowControl/>
              <w:spacing w:line="360" w:lineRule="auto"/>
              <w:jc w:val="left"/>
              <w:rPr>
                <w:rFonts w:cs="宋体" w:asciiTheme="minorEastAsia" w:hAnsiTheme="minorEastAsia"/>
                <w:kern w:val="0"/>
                <w:szCs w:val="21"/>
              </w:rPr>
            </w:pPr>
            <w:r>
              <w:rPr>
                <w:rFonts w:hint="eastAsia"/>
                <w:szCs w:val="21"/>
              </w:rPr>
              <w:t>暂停</w:t>
            </w:r>
            <w:r>
              <w:rPr>
                <w:rFonts w:hint="eastAsia" w:cs="宋体" w:asciiTheme="minorEastAsia" w:hAnsiTheme="minorEastAsia"/>
                <w:kern w:val="0"/>
                <w:szCs w:val="21"/>
              </w:rPr>
              <w:t>大额申购起始日</w:t>
            </w:r>
          </w:p>
        </w:tc>
        <w:tc>
          <w:tcPr>
            <w:tcW w:w="341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0A5AD903">
            <w:pPr>
              <w:widowControl/>
              <w:spacing w:line="360" w:lineRule="auto"/>
              <w:jc w:val="left"/>
              <w:rPr>
                <w:rFonts w:hint="default" w:cs="宋体" w:asciiTheme="minorEastAsia" w:hAnsiTheme="minorEastAsia" w:eastAsiaTheme="minorEastAsia"/>
                <w:kern w:val="0"/>
                <w:szCs w:val="21"/>
                <w:lang w:val="en-US" w:eastAsia="zh-CN"/>
              </w:rPr>
            </w:pPr>
            <w:r>
              <w:rPr>
                <w:rFonts w:hint="eastAsia" w:cs="宋体" w:asciiTheme="minorEastAsia" w:hAnsiTheme="minorEastAsia"/>
                <w:kern w:val="0"/>
                <w:szCs w:val="21"/>
              </w:rPr>
              <w:t>20</w:t>
            </w:r>
            <w:r>
              <w:rPr>
                <w:rFonts w:hint="eastAsia" w:cs="宋体" w:asciiTheme="minorEastAsia" w:hAnsiTheme="minorEastAsia"/>
                <w:kern w:val="0"/>
                <w:szCs w:val="21"/>
                <w:lang w:val="en-US" w:eastAsia="zh-CN"/>
              </w:rPr>
              <w:t>26</w:t>
            </w:r>
            <w:r>
              <w:rPr>
                <w:rFonts w:hint="eastAsia" w:cs="宋体" w:asciiTheme="minorEastAsia" w:hAnsiTheme="minorEastAsia"/>
                <w:kern w:val="0"/>
                <w:szCs w:val="21"/>
              </w:rPr>
              <w:t>-</w:t>
            </w:r>
            <w:r>
              <w:rPr>
                <w:rFonts w:hint="eastAsia" w:cs="宋体" w:asciiTheme="minorEastAsia" w:hAnsiTheme="minorEastAsia"/>
                <w:kern w:val="0"/>
                <w:szCs w:val="21"/>
                <w:lang w:val="en-US" w:eastAsia="zh-CN"/>
              </w:rPr>
              <w:t>10</w:t>
            </w:r>
            <w:r>
              <w:rPr>
                <w:rFonts w:hint="eastAsia" w:cs="宋体" w:asciiTheme="minorEastAsia" w:hAnsiTheme="minorEastAsia"/>
                <w:kern w:val="0"/>
                <w:szCs w:val="21"/>
              </w:rPr>
              <w:t>-</w:t>
            </w:r>
            <w:r>
              <w:rPr>
                <w:rFonts w:hint="eastAsia" w:cs="宋体" w:asciiTheme="minorEastAsia" w:hAnsiTheme="minorEastAsia"/>
                <w:kern w:val="0"/>
                <w:szCs w:val="21"/>
                <w:lang w:val="en-US" w:eastAsia="zh-CN"/>
              </w:rPr>
              <w:t>29</w:t>
            </w:r>
          </w:p>
        </w:tc>
      </w:tr>
      <w:tr w14:paraId="4728D2BE">
        <w:tblPrEx>
          <w:tblCellMar>
            <w:top w:w="0" w:type="dxa"/>
            <w:left w:w="0" w:type="dxa"/>
            <w:bottom w:w="0" w:type="dxa"/>
            <w:right w:w="0" w:type="dxa"/>
          </w:tblCellMar>
        </w:tblPrEx>
        <w:trPr>
          <w:trHeight w:val="502" w:hRule="atLeast"/>
        </w:trPr>
        <w:tc>
          <w:tcPr>
            <w:tcW w:w="222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F01BB8F">
            <w:pPr>
              <w:widowControl/>
              <w:spacing w:line="360" w:lineRule="auto"/>
              <w:jc w:val="left"/>
              <w:rPr>
                <w:rFonts w:hint="eastAsia"/>
                <w:szCs w:val="21"/>
              </w:rPr>
            </w:pPr>
          </w:p>
        </w:tc>
        <w:tc>
          <w:tcPr>
            <w:tcW w:w="28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2D89158">
            <w:pPr>
              <w:widowControl/>
              <w:spacing w:line="360" w:lineRule="auto"/>
              <w:jc w:val="left"/>
              <w:rPr>
                <w:rFonts w:cs="宋体" w:asciiTheme="minorEastAsia" w:hAnsiTheme="minorEastAsia"/>
                <w:kern w:val="0"/>
                <w:szCs w:val="21"/>
              </w:rPr>
            </w:pPr>
            <w:r>
              <w:rPr>
                <w:rFonts w:hint="eastAsia"/>
                <w:szCs w:val="21"/>
              </w:rPr>
              <w:t>暂停</w:t>
            </w:r>
            <w:r>
              <w:rPr>
                <w:rFonts w:hint="eastAsia" w:cs="宋体" w:asciiTheme="minorEastAsia" w:hAnsiTheme="minorEastAsia"/>
                <w:kern w:val="0"/>
                <w:szCs w:val="21"/>
              </w:rPr>
              <w:t>大额转换转入起始日</w:t>
            </w:r>
          </w:p>
        </w:tc>
        <w:tc>
          <w:tcPr>
            <w:tcW w:w="341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90BF5E0">
            <w:pPr>
              <w:widowControl/>
              <w:spacing w:line="360" w:lineRule="auto"/>
              <w:jc w:val="left"/>
              <w:rPr>
                <w:rFonts w:hint="default" w:cs="宋体" w:asciiTheme="minorEastAsia" w:hAnsiTheme="minorEastAsia" w:eastAsiaTheme="minorEastAsia"/>
                <w:kern w:val="0"/>
                <w:szCs w:val="21"/>
                <w:lang w:val="en-US" w:eastAsia="zh-CN"/>
              </w:rPr>
            </w:pPr>
            <w:r>
              <w:rPr>
                <w:rFonts w:hint="eastAsia" w:cs="宋体" w:asciiTheme="minorEastAsia" w:hAnsiTheme="minorEastAsia"/>
                <w:kern w:val="0"/>
                <w:szCs w:val="21"/>
              </w:rPr>
              <w:t>20</w:t>
            </w:r>
            <w:r>
              <w:rPr>
                <w:rFonts w:hint="eastAsia" w:cs="宋体" w:asciiTheme="minorEastAsia" w:hAnsiTheme="minorEastAsia"/>
                <w:kern w:val="0"/>
                <w:szCs w:val="21"/>
                <w:lang w:val="en-US" w:eastAsia="zh-CN"/>
              </w:rPr>
              <w:t>26</w:t>
            </w:r>
            <w:r>
              <w:rPr>
                <w:rFonts w:hint="eastAsia" w:cs="宋体" w:asciiTheme="minorEastAsia" w:hAnsiTheme="minorEastAsia"/>
                <w:kern w:val="0"/>
                <w:szCs w:val="21"/>
              </w:rPr>
              <w:t>-</w:t>
            </w:r>
            <w:r>
              <w:rPr>
                <w:rFonts w:hint="eastAsia" w:cs="宋体" w:asciiTheme="minorEastAsia" w:hAnsiTheme="minorEastAsia"/>
                <w:kern w:val="0"/>
                <w:szCs w:val="21"/>
                <w:lang w:val="en-US" w:eastAsia="zh-CN"/>
              </w:rPr>
              <w:t>10-29</w:t>
            </w:r>
          </w:p>
        </w:tc>
      </w:tr>
      <w:tr w14:paraId="056AAF4F">
        <w:tblPrEx>
          <w:tblCellMar>
            <w:top w:w="0" w:type="dxa"/>
            <w:left w:w="0" w:type="dxa"/>
            <w:bottom w:w="0" w:type="dxa"/>
            <w:right w:w="0" w:type="dxa"/>
          </w:tblCellMar>
        </w:tblPrEx>
        <w:trPr>
          <w:trHeight w:val="376" w:hRule="atLeast"/>
        </w:trPr>
        <w:tc>
          <w:tcPr>
            <w:tcW w:w="222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61DF5ED">
            <w:pPr>
              <w:widowControl/>
              <w:spacing w:line="360" w:lineRule="auto"/>
              <w:jc w:val="left"/>
              <w:rPr>
                <w:rFonts w:hint="eastAsia"/>
                <w:szCs w:val="21"/>
              </w:rPr>
            </w:pPr>
          </w:p>
        </w:tc>
        <w:tc>
          <w:tcPr>
            <w:tcW w:w="28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E79DBDF">
            <w:pPr>
              <w:widowControl/>
              <w:spacing w:line="360" w:lineRule="auto"/>
              <w:jc w:val="left"/>
              <w:rPr>
                <w:szCs w:val="21"/>
              </w:rPr>
            </w:pPr>
            <w:r>
              <w:rPr>
                <w:rFonts w:hint="eastAsia"/>
                <w:szCs w:val="21"/>
              </w:rPr>
              <w:t>限制</w:t>
            </w:r>
            <w:r>
              <w:rPr>
                <w:szCs w:val="21"/>
              </w:rPr>
              <w:t>申购金额</w:t>
            </w:r>
            <w:r>
              <w:rPr>
                <w:rFonts w:hint="eastAsia"/>
                <w:szCs w:val="21"/>
              </w:rPr>
              <w:t>（单位</w:t>
            </w:r>
            <w:r>
              <w:rPr>
                <w:szCs w:val="21"/>
              </w:rPr>
              <w:t>：元</w:t>
            </w:r>
            <w:r>
              <w:rPr>
                <w:rFonts w:hint="eastAsia"/>
                <w:szCs w:val="21"/>
              </w:rPr>
              <w:t>）</w:t>
            </w:r>
          </w:p>
        </w:tc>
        <w:tc>
          <w:tcPr>
            <w:tcW w:w="341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3502770">
            <w:pPr>
              <w:widowControl/>
              <w:spacing w:line="360" w:lineRule="auto"/>
              <w:jc w:val="left"/>
              <w:rPr>
                <w:rFonts w:cs="宋体" w:asciiTheme="minorEastAsia" w:hAnsiTheme="minorEastAsia"/>
                <w:kern w:val="0"/>
                <w:szCs w:val="21"/>
              </w:rPr>
            </w:pPr>
            <w:r>
              <w:rPr>
                <w:rFonts w:hint="eastAsia" w:cs="宋体" w:asciiTheme="minorEastAsia" w:hAnsiTheme="minorEastAsia"/>
                <w:kern w:val="0"/>
                <w:szCs w:val="21"/>
                <w:lang w:val="en-US" w:eastAsia="zh-CN"/>
              </w:rPr>
              <w:t>5</w:t>
            </w:r>
            <w:r>
              <w:rPr>
                <w:rFonts w:cs="宋体" w:asciiTheme="minorEastAsia" w:hAnsiTheme="minorEastAsia"/>
                <w:kern w:val="0"/>
                <w:szCs w:val="21"/>
              </w:rPr>
              <w:t>00,</w:t>
            </w:r>
            <w:r>
              <w:rPr>
                <w:rFonts w:hint="eastAsia" w:cs="宋体" w:asciiTheme="minorEastAsia" w:hAnsiTheme="minorEastAsia"/>
                <w:kern w:val="0"/>
                <w:szCs w:val="21"/>
              </w:rPr>
              <w:t>000</w:t>
            </w:r>
            <w:r>
              <w:rPr>
                <w:rFonts w:cs="宋体" w:asciiTheme="minorEastAsia" w:hAnsiTheme="minorEastAsia"/>
                <w:kern w:val="0"/>
                <w:szCs w:val="21"/>
              </w:rPr>
              <w:t>.00</w:t>
            </w:r>
          </w:p>
        </w:tc>
      </w:tr>
      <w:tr w14:paraId="1F8FF447">
        <w:tblPrEx>
          <w:tblCellMar>
            <w:top w:w="0" w:type="dxa"/>
            <w:left w:w="0" w:type="dxa"/>
            <w:bottom w:w="0" w:type="dxa"/>
            <w:right w:w="0" w:type="dxa"/>
          </w:tblCellMar>
        </w:tblPrEx>
        <w:trPr>
          <w:trHeight w:val="300" w:hRule="atLeast"/>
        </w:trPr>
        <w:tc>
          <w:tcPr>
            <w:tcW w:w="222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CEF2858">
            <w:pPr>
              <w:widowControl/>
              <w:spacing w:line="360" w:lineRule="auto"/>
              <w:jc w:val="left"/>
              <w:rPr>
                <w:rFonts w:hint="eastAsia"/>
                <w:szCs w:val="21"/>
              </w:rPr>
            </w:pPr>
          </w:p>
        </w:tc>
        <w:tc>
          <w:tcPr>
            <w:tcW w:w="28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0A20F9F0">
            <w:pPr>
              <w:widowControl/>
              <w:spacing w:line="360" w:lineRule="auto"/>
              <w:jc w:val="left"/>
              <w:rPr>
                <w:szCs w:val="21"/>
              </w:rPr>
            </w:pPr>
            <w:r>
              <w:rPr>
                <w:rFonts w:hint="eastAsia"/>
                <w:szCs w:val="21"/>
              </w:rPr>
              <w:t>限制</w:t>
            </w:r>
            <w:r>
              <w:rPr>
                <w:szCs w:val="21"/>
              </w:rPr>
              <w:t>转换转入金额</w:t>
            </w:r>
            <w:r>
              <w:rPr>
                <w:rFonts w:hint="eastAsia"/>
                <w:szCs w:val="21"/>
              </w:rPr>
              <w:t>（单位</w:t>
            </w:r>
            <w:r>
              <w:rPr>
                <w:szCs w:val="21"/>
              </w:rPr>
              <w:t>：元</w:t>
            </w:r>
            <w:r>
              <w:rPr>
                <w:rFonts w:hint="eastAsia"/>
                <w:szCs w:val="21"/>
              </w:rPr>
              <w:t>）</w:t>
            </w:r>
          </w:p>
        </w:tc>
        <w:tc>
          <w:tcPr>
            <w:tcW w:w="341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26BF841">
            <w:pPr>
              <w:widowControl/>
              <w:spacing w:line="360" w:lineRule="auto"/>
              <w:jc w:val="left"/>
              <w:rPr>
                <w:rFonts w:cs="宋体" w:asciiTheme="minorEastAsia" w:hAnsiTheme="minorEastAsia"/>
                <w:kern w:val="0"/>
                <w:szCs w:val="21"/>
              </w:rPr>
            </w:pPr>
            <w:r>
              <w:rPr>
                <w:rFonts w:hint="eastAsia" w:cs="宋体" w:asciiTheme="minorEastAsia" w:hAnsiTheme="minorEastAsia"/>
                <w:kern w:val="0"/>
                <w:szCs w:val="21"/>
                <w:lang w:val="en-US" w:eastAsia="zh-CN"/>
              </w:rPr>
              <w:t>5</w:t>
            </w:r>
            <w:r>
              <w:rPr>
                <w:rFonts w:cs="宋体" w:asciiTheme="minorEastAsia" w:hAnsiTheme="minorEastAsia"/>
                <w:kern w:val="0"/>
                <w:szCs w:val="21"/>
              </w:rPr>
              <w:t>00,</w:t>
            </w:r>
            <w:r>
              <w:rPr>
                <w:rFonts w:hint="eastAsia" w:cs="宋体" w:asciiTheme="minorEastAsia" w:hAnsiTheme="minorEastAsia"/>
                <w:kern w:val="0"/>
                <w:szCs w:val="21"/>
              </w:rPr>
              <w:t>000</w:t>
            </w:r>
            <w:r>
              <w:rPr>
                <w:rFonts w:cs="宋体" w:asciiTheme="minorEastAsia" w:hAnsiTheme="minorEastAsia"/>
                <w:kern w:val="0"/>
                <w:szCs w:val="21"/>
              </w:rPr>
              <w:t>.00</w:t>
            </w:r>
          </w:p>
        </w:tc>
      </w:tr>
      <w:tr w14:paraId="07DE7AF1">
        <w:tblPrEx>
          <w:tblCellMar>
            <w:top w:w="0" w:type="dxa"/>
            <w:left w:w="0" w:type="dxa"/>
            <w:bottom w:w="0" w:type="dxa"/>
            <w:right w:w="0" w:type="dxa"/>
          </w:tblCellMar>
        </w:tblPrEx>
        <w:trPr>
          <w:trHeight w:val="966" w:hRule="atLeast"/>
        </w:trPr>
        <w:tc>
          <w:tcPr>
            <w:tcW w:w="222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17ADBD23">
            <w:pPr>
              <w:widowControl/>
              <w:spacing w:line="360" w:lineRule="auto"/>
              <w:jc w:val="left"/>
              <w:rPr>
                <w:rFonts w:hint="eastAsia"/>
                <w:szCs w:val="21"/>
              </w:rPr>
            </w:pPr>
          </w:p>
        </w:tc>
        <w:tc>
          <w:tcPr>
            <w:tcW w:w="28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244214E">
            <w:pPr>
              <w:widowControl/>
              <w:spacing w:line="360" w:lineRule="auto"/>
              <w:jc w:val="left"/>
              <w:rPr>
                <w:rFonts w:cs="宋体" w:asciiTheme="minorEastAsia" w:hAnsiTheme="minorEastAsia"/>
                <w:kern w:val="0"/>
                <w:szCs w:val="21"/>
              </w:rPr>
            </w:pPr>
            <w:r>
              <w:rPr>
                <w:rFonts w:hint="eastAsia"/>
                <w:szCs w:val="21"/>
              </w:rPr>
              <w:t>暂停</w:t>
            </w:r>
            <w:r>
              <w:rPr>
                <w:rFonts w:hint="eastAsia" w:cs="宋体" w:asciiTheme="minorEastAsia" w:hAnsiTheme="minorEastAsia"/>
                <w:kern w:val="0"/>
                <w:szCs w:val="21"/>
                <w:lang w:val="en-US" w:eastAsia="zh-CN"/>
              </w:rPr>
              <w:t>大额</w:t>
            </w:r>
            <w:r>
              <w:rPr>
                <w:rFonts w:hint="eastAsia" w:cs="宋体" w:asciiTheme="minorEastAsia" w:hAnsiTheme="minorEastAsia"/>
                <w:kern w:val="0"/>
                <w:szCs w:val="21"/>
              </w:rPr>
              <w:t>申购、转换转入、定期定额投资的原因说明</w:t>
            </w:r>
          </w:p>
        </w:tc>
        <w:tc>
          <w:tcPr>
            <w:tcW w:w="341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A384201">
            <w:pPr>
              <w:widowControl/>
              <w:spacing w:line="360" w:lineRule="auto"/>
              <w:jc w:val="left"/>
              <w:rPr>
                <w:rFonts w:cs="宋体" w:asciiTheme="minorEastAsia" w:hAnsiTheme="minorEastAsia"/>
                <w:kern w:val="0"/>
                <w:szCs w:val="21"/>
              </w:rPr>
            </w:pPr>
            <w:r>
              <w:rPr>
                <w:rFonts w:hint="eastAsia" w:cs="宋体" w:asciiTheme="minorEastAsia" w:hAnsiTheme="minorEastAsia"/>
                <w:kern w:val="0"/>
                <w:szCs w:val="21"/>
              </w:rPr>
              <w:t>为了保证基金的平稳运作，保护基金份额持有人的利益。</w:t>
            </w:r>
          </w:p>
        </w:tc>
      </w:tr>
      <w:tr w14:paraId="61E10960">
        <w:tblPrEx>
          <w:tblCellMar>
            <w:top w:w="0" w:type="dxa"/>
            <w:left w:w="0" w:type="dxa"/>
            <w:bottom w:w="0" w:type="dxa"/>
            <w:right w:w="0" w:type="dxa"/>
          </w:tblCellMar>
        </w:tblPrEx>
        <w:trPr>
          <w:trHeight w:val="335" w:hRule="atLeast"/>
        </w:trPr>
        <w:tc>
          <w:tcPr>
            <w:tcW w:w="2221"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4A93EC35">
            <w:pPr>
              <w:widowControl/>
              <w:spacing w:line="360" w:lineRule="auto"/>
              <w:jc w:val="left"/>
              <w:rPr>
                <w:rFonts w:hint="eastAsia"/>
                <w:szCs w:val="21"/>
                <w:lang w:val="en-US" w:eastAsia="zh-CN"/>
              </w:rPr>
            </w:pPr>
            <w:r>
              <w:rPr>
                <w:rFonts w:hint="eastAsia"/>
                <w:szCs w:val="21"/>
                <w:lang w:val="en-US" w:eastAsia="zh-CN"/>
              </w:rPr>
              <w:t>恢复</w:t>
            </w:r>
            <w:r>
              <w:rPr>
                <w:rFonts w:hint="eastAsia" w:cs="宋体" w:asciiTheme="minorEastAsia" w:hAnsiTheme="minorEastAsia"/>
                <w:kern w:val="0"/>
                <w:szCs w:val="21"/>
              </w:rPr>
              <w:t>相关业务的起始日及原因说明</w:t>
            </w:r>
          </w:p>
        </w:tc>
        <w:tc>
          <w:tcPr>
            <w:tcW w:w="28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D490234">
            <w:pPr>
              <w:widowControl/>
              <w:spacing w:line="360" w:lineRule="auto"/>
              <w:jc w:val="left"/>
              <w:rPr>
                <w:szCs w:val="21"/>
              </w:rPr>
            </w:pPr>
            <w:r>
              <w:rPr>
                <w:rFonts w:hint="eastAsia"/>
                <w:szCs w:val="21"/>
                <w:lang w:val="en-US" w:eastAsia="zh-CN"/>
              </w:rPr>
              <w:t>恢复大额</w:t>
            </w:r>
            <w:r>
              <w:rPr>
                <w:rFonts w:hint="eastAsia" w:cs="宋体" w:asciiTheme="minorEastAsia" w:hAnsiTheme="minorEastAsia"/>
                <w:kern w:val="0"/>
                <w:szCs w:val="21"/>
              </w:rPr>
              <w:t>申购起始日</w:t>
            </w:r>
          </w:p>
        </w:tc>
        <w:tc>
          <w:tcPr>
            <w:tcW w:w="341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65EE6A3">
            <w:pPr>
              <w:widowControl/>
              <w:spacing w:line="360" w:lineRule="auto"/>
              <w:jc w:val="left"/>
              <w:rPr>
                <w:rFonts w:hint="default" w:cs="宋体" w:asciiTheme="minorEastAsia" w:hAnsiTheme="minorEastAsia" w:eastAsiaTheme="minorEastAsia"/>
                <w:kern w:val="0"/>
                <w:szCs w:val="21"/>
                <w:lang w:val="en-US" w:eastAsia="zh-CN"/>
              </w:rPr>
            </w:pPr>
            <w:r>
              <w:rPr>
                <w:rFonts w:hint="eastAsia" w:cs="宋体" w:asciiTheme="minorEastAsia" w:hAnsiTheme="minorEastAsia"/>
                <w:kern w:val="0"/>
                <w:szCs w:val="21"/>
              </w:rPr>
              <w:t>20</w:t>
            </w:r>
            <w:r>
              <w:rPr>
                <w:rFonts w:hint="eastAsia" w:cs="宋体" w:asciiTheme="minorEastAsia" w:hAnsiTheme="minorEastAsia"/>
                <w:kern w:val="0"/>
                <w:szCs w:val="21"/>
                <w:lang w:val="en-US" w:eastAsia="zh-CN"/>
              </w:rPr>
              <w:t>26</w:t>
            </w:r>
            <w:r>
              <w:rPr>
                <w:rFonts w:hint="eastAsia" w:cs="宋体" w:asciiTheme="minorEastAsia" w:hAnsiTheme="minorEastAsia"/>
                <w:kern w:val="0"/>
                <w:szCs w:val="21"/>
              </w:rPr>
              <w:t>-</w:t>
            </w:r>
            <w:r>
              <w:rPr>
                <w:rFonts w:hint="eastAsia" w:cs="宋体" w:asciiTheme="minorEastAsia" w:hAnsiTheme="minorEastAsia"/>
                <w:kern w:val="0"/>
                <w:szCs w:val="21"/>
                <w:lang w:val="en-US" w:eastAsia="zh-CN"/>
              </w:rPr>
              <w:t>10</w:t>
            </w:r>
            <w:r>
              <w:rPr>
                <w:rFonts w:hint="eastAsia" w:cs="宋体" w:asciiTheme="minorEastAsia" w:hAnsiTheme="minorEastAsia"/>
                <w:kern w:val="0"/>
                <w:szCs w:val="21"/>
              </w:rPr>
              <w:t>-</w:t>
            </w:r>
            <w:r>
              <w:rPr>
                <w:rFonts w:hint="eastAsia" w:cs="宋体" w:asciiTheme="minorEastAsia" w:hAnsiTheme="minorEastAsia"/>
                <w:kern w:val="0"/>
                <w:szCs w:val="21"/>
                <w:lang w:val="en-US" w:eastAsia="zh-CN"/>
              </w:rPr>
              <w:t>30</w:t>
            </w:r>
          </w:p>
        </w:tc>
      </w:tr>
      <w:tr w14:paraId="3CC8F39F">
        <w:tblPrEx>
          <w:tblCellMar>
            <w:top w:w="0" w:type="dxa"/>
            <w:left w:w="0" w:type="dxa"/>
            <w:bottom w:w="0" w:type="dxa"/>
            <w:right w:w="0" w:type="dxa"/>
          </w:tblCellMar>
        </w:tblPrEx>
        <w:trPr>
          <w:trHeight w:val="465" w:hRule="atLeast"/>
        </w:trPr>
        <w:tc>
          <w:tcPr>
            <w:tcW w:w="222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AAA74CC">
            <w:pPr>
              <w:widowControl/>
              <w:spacing w:line="360" w:lineRule="auto"/>
              <w:jc w:val="left"/>
              <w:rPr>
                <w:rFonts w:hint="eastAsia"/>
                <w:szCs w:val="21"/>
                <w:lang w:val="en-US" w:eastAsia="zh-CN"/>
              </w:rPr>
            </w:pPr>
          </w:p>
        </w:tc>
        <w:tc>
          <w:tcPr>
            <w:tcW w:w="28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C361ED8">
            <w:pPr>
              <w:widowControl/>
              <w:spacing w:line="360" w:lineRule="auto"/>
              <w:jc w:val="left"/>
              <w:rPr>
                <w:szCs w:val="21"/>
              </w:rPr>
            </w:pPr>
            <w:r>
              <w:rPr>
                <w:rFonts w:hint="eastAsia"/>
                <w:szCs w:val="21"/>
                <w:lang w:val="en-US" w:eastAsia="zh-CN"/>
              </w:rPr>
              <w:t>恢复大额</w:t>
            </w:r>
            <w:r>
              <w:rPr>
                <w:rFonts w:hint="eastAsia" w:cs="宋体" w:asciiTheme="minorEastAsia" w:hAnsiTheme="minorEastAsia"/>
                <w:kern w:val="0"/>
                <w:szCs w:val="21"/>
              </w:rPr>
              <w:t>转换转入起始日</w:t>
            </w:r>
          </w:p>
        </w:tc>
        <w:tc>
          <w:tcPr>
            <w:tcW w:w="341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3BB3A89">
            <w:pPr>
              <w:widowControl/>
              <w:spacing w:line="360" w:lineRule="auto"/>
              <w:jc w:val="left"/>
              <w:rPr>
                <w:rFonts w:hint="default" w:cs="宋体" w:asciiTheme="minorEastAsia" w:hAnsiTheme="minorEastAsia" w:eastAsiaTheme="minorEastAsia"/>
                <w:kern w:val="0"/>
                <w:szCs w:val="21"/>
                <w:lang w:val="en-US" w:eastAsia="zh-CN"/>
              </w:rPr>
            </w:pPr>
            <w:r>
              <w:rPr>
                <w:rFonts w:hint="eastAsia" w:cs="宋体" w:asciiTheme="minorEastAsia" w:hAnsiTheme="minorEastAsia"/>
                <w:kern w:val="0"/>
                <w:szCs w:val="21"/>
              </w:rPr>
              <w:t>20</w:t>
            </w:r>
            <w:r>
              <w:rPr>
                <w:rFonts w:hint="eastAsia" w:cs="宋体" w:asciiTheme="minorEastAsia" w:hAnsiTheme="minorEastAsia"/>
                <w:kern w:val="0"/>
                <w:szCs w:val="21"/>
                <w:lang w:val="en-US" w:eastAsia="zh-CN"/>
              </w:rPr>
              <w:t>26</w:t>
            </w:r>
            <w:r>
              <w:rPr>
                <w:rFonts w:hint="eastAsia" w:cs="宋体" w:asciiTheme="minorEastAsia" w:hAnsiTheme="minorEastAsia"/>
                <w:kern w:val="0"/>
                <w:szCs w:val="21"/>
              </w:rPr>
              <w:t>-</w:t>
            </w:r>
            <w:r>
              <w:rPr>
                <w:rFonts w:hint="eastAsia" w:cs="宋体" w:asciiTheme="minorEastAsia" w:hAnsiTheme="minorEastAsia"/>
                <w:kern w:val="0"/>
                <w:szCs w:val="21"/>
                <w:lang w:val="en-US" w:eastAsia="zh-CN"/>
              </w:rPr>
              <w:t>10</w:t>
            </w:r>
            <w:r>
              <w:rPr>
                <w:rFonts w:hint="eastAsia" w:cs="宋体" w:asciiTheme="minorEastAsia" w:hAnsiTheme="minorEastAsia"/>
                <w:kern w:val="0"/>
                <w:szCs w:val="21"/>
              </w:rPr>
              <w:t>-</w:t>
            </w:r>
            <w:r>
              <w:rPr>
                <w:rFonts w:hint="eastAsia" w:cs="宋体" w:asciiTheme="minorEastAsia" w:hAnsiTheme="minorEastAsia"/>
                <w:kern w:val="0"/>
                <w:szCs w:val="21"/>
                <w:lang w:val="en-US" w:eastAsia="zh-CN"/>
              </w:rPr>
              <w:t>30</w:t>
            </w:r>
          </w:p>
        </w:tc>
      </w:tr>
      <w:tr w14:paraId="2F449165">
        <w:tblPrEx>
          <w:tblCellMar>
            <w:top w:w="0" w:type="dxa"/>
            <w:left w:w="0" w:type="dxa"/>
            <w:bottom w:w="0" w:type="dxa"/>
            <w:right w:w="0" w:type="dxa"/>
          </w:tblCellMar>
        </w:tblPrEx>
        <w:trPr>
          <w:trHeight w:val="1004" w:hRule="atLeast"/>
        </w:trPr>
        <w:tc>
          <w:tcPr>
            <w:tcW w:w="2221"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0D2F6C26">
            <w:pPr>
              <w:widowControl/>
              <w:spacing w:line="360" w:lineRule="auto"/>
              <w:jc w:val="left"/>
              <w:rPr>
                <w:rFonts w:hint="eastAsia"/>
                <w:szCs w:val="21"/>
                <w:lang w:val="en-US" w:eastAsia="zh-CN"/>
              </w:rPr>
            </w:pPr>
          </w:p>
        </w:tc>
        <w:tc>
          <w:tcPr>
            <w:tcW w:w="28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128FBFF">
            <w:pPr>
              <w:widowControl/>
              <w:spacing w:line="360" w:lineRule="auto"/>
              <w:jc w:val="left"/>
              <w:rPr>
                <w:rFonts w:cs="宋体" w:asciiTheme="minorEastAsia" w:hAnsiTheme="minorEastAsia"/>
                <w:kern w:val="0"/>
                <w:szCs w:val="21"/>
              </w:rPr>
            </w:pPr>
            <w:r>
              <w:rPr>
                <w:rFonts w:hint="eastAsia"/>
                <w:szCs w:val="21"/>
                <w:lang w:val="en-US" w:eastAsia="zh-CN"/>
              </w:rPr>
              <w:t>恢复大额</w:t>
            </w:r>
            <w:r>
              <w:rPr>
                <w:rFonts w:hint="eastAsia" w:cs="宋体" w:asciiTheme="minorEastAsia" w:hAnsiTheme="minorEastAsia"/>
                <w:kern w:val="0"/>
                <w:szCs w:val="21"/>
              </w:rPr>
              <w:t>申购、转换转入、定期定额投资的原因说明</w:t>
            </w:r>
          </w:p>
        </w:tc>
        <w:tc>
          <w:tcPr>
            <w:tcW w:w="341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6B5C6B9D">
            <w:pPr>
              <w:widowControl/>
              <w:spacing w:line="360" w:lineRule="auto"/>
              <w:jc w:val="left"/>
              <w:rPr>
                <w:rFonts w:cs="宋体" w:asciiTheme="minorEastAsia" w:hAnsiTheme="minorEastAsia"/>
                <w:kern w:val="0"/>
                <w:szCs w:val="21"/>
              </w:rPr>
            </w:pPr>
            <w:r>
              <w:rPr>
                <w:rFonts w:hint="eastAsia" w:cs="宋体" w:asciiTheme="minorEastAsia" w:hAnsiTheme="minorEastAsia"/>
                <w:kern w:val="0"/>
                <w:szCs w:val="21"/>
              </w:rPr>
              <w:t>为了保证基金的平稳运作，保护基金份额持有人的利益。</w:t>
            </w:r>
          </w:p>
        </w:tc>
      </w:tr>
    </w:tbl>
    <w:p w14:paraId="3AEDE05D">
      <w:pPr>
        <w:widowControl/>
        <w:spacing w:line="360" w:lineRule="auto"/>
        <w:ind w:firstLine="422" w:firstLineChars="200"/>
        <w:jc w:val="left"/>
        <w:rPr>
          <w:rFonts w:cs="宋体" w:asciiTheme="minorEastAsia" w:hAnsiTheme="minorEastAsia"/>
          <w:kern w:val="0"/>
          <w:szCs w:val="21"/>
        </w:rPr>
      </w:pPr>
      <w:r>
        <w:rPr>
          <w:rFonts w:hint="eastAsia" w:cs="宋体" w:asciiTheme="minorEastAsia" w:hAnsiTheme="minorEastAsia"/>
          <w:b/>
          <w:bCs/>
          <w:kern w:val="0"/>
          <w:szCs w:val="21"/>
        </w:rPr>
        <w:t>2 其他需要提示的事项</w:t>
      </w:r>
    </w:p>
    <w:p w14:paraId="4685C557">
      <w:pPr>
        <w:widowControl/>
        <w:spacing w:line="360" w:lineRule="auto"/>
        <w:ind w:firstLine="420"/>
        <w:jc w:val="left"/>
        <w:rPr>
          <w:rFonts w:cs="宋体" w:asciiTheme="minorEastAsia" w:hAnsiTheme="minorEastAsia"/>
          <w:kern w:val="0"/>
          <w:szCs w:val="21"/>
        </w:rPr>
      </w:pPr>
      <w:r>
        <w:rPr>
          <w:rFonts w:hint="eastAsia" w:cs="宋体" w:asciiTheme="minorEastAsia" w:hAnsiTheme="minorEastAsia"/>
          <w:kern w:val="0"/>
          <w:szCs w:val="21"/>
        </w:rPr>
        <w:t>（1）根据法律法规和基金合同的相关规定，本基金管理</w:t>
      </w:r>
      <w:r>
        <w:rPr>
          <w:rFonts w:hint="eastAsia" w:cs="宋体" w:asciiTheme="minorEastAsia" w:hAnsiTheme="minorEastAsia"/>
          <w:kern w:val="0"/>
          <w:szCs w:val="21"/>
          <w:highlight w:val="none"/>
        </w:rPr>
        <w:t>人决定从20</w:t>
      </w:r>
      <w:r>
        <w:rPr>
          <w:rFonts w:hint="eastAsia" w:cs="宋体" w:asciiTheme="minorEastAsia" w:hAnsiTheme="minorEastAsia"/>
          <w:kern w:val="0"/>
          <w:szCs w:val="21"/>
          <w:highlight w:val="none"/>
          <w:lang w:val="en-US" w:eastAsia="zh-CN"/>
        </w:rPr>
        <w:t>26</w:t>
      </w:r>
      <w:r>
        <w:rPr>
          <w:rFonts w:hint="eastAsia" w:cs="宋体" w:asciiTheme="minorEastAsia" w:hAnsiTheme="minorEastAsia"/>
          <w:kern w:val="0"/>
          <w:szCs w:val="21"/>
          <w:highlight w:val="none"/>
        </w:rPr>
        <w:t>年</w:t>
      </w:r>
      <w:r>
        <w:rPr>
          <w:rFonts w:hint="eastAsia" w:cs="宋体" w:asciiTheme="minorEastAsia" w:hAnsiTheme="minorEastAsia"/>
          <w:kern w:val="0"/>
          <w:szCs w:val="21"/>
          <w:highlight w:val="none"/>
          <w:lang w:val="en-US" w:eastAsia="zh-CN"/>
        </w:rPr>
        <w:t>10</w:t>
      </w:r>
      <w:r>
        <w:rPr>
          <w:rFonts w:hint="eastAsia" w:cs="宋体" w:asciiTheme="minorEastAsia" w:hAnsiTheme="minorEastAsia"/>
          <w:kern w:val="0"/>
          <w:szCs w:val="21"/>
          <w:highlight w:val="none"/>
        </w:rPr>
        <w:t>月</w:t>
      </w:r>
      <w:r>
        <w:rPr>
          <w:rFonts w:hint="eastAsia" w:cs="宋体" w:asciiTheme="minorEastAsia" w:hAnsiTheme="minorEastAsia"/>
          <w:kern w:val="0"/>
          <w:szCs w:val="21"/>
          <w:highlight w:val="none"/>
          <w:lang w:val="en-US" w:eastAsia="zh-CN"/>
        </w:rPr>
        <w:t>29</w:t>
      </w:r>
      <w:r>
        <w:rPr>
          <w:rFonts w:hint="eastAsia" w:cs="宋体" w:asciiTheme="minorEastAsia" w:hAnsiTheme="minorEastAsia"/>
          <w:kern w:val="0"/>
          <w:szCs w:val="21"/>
          <w:highlight w:val="none"/>
        </w:rPr>
        <w:t>日起，</w:t>
      </w:r>
      <w:r>
        <w:rPr>
          <w:rFonts w:hint="eastAsia" w:cs="宋体" w:asciiTheme="minorEastAsia" w:hAnsiTheme="minorEastAsia"/>
          <w:kern w:val="0"/>
          <w:szCs w:val="21"/>
        </w:rPr>
        <w:t>对方正富邦中证同业存单AAA指数7天持有期证券投资基金（以下简称“本基金”）</w:t>
      </w:r>
      <w:r>
        <w:rPr>
          <w:rFonts w:hint="eastAsia" w:cs="宋体" w:asciiTheme="minorEastAsia" w:hAnsiTheme="minorEastAsia"/>
          <w:kern w:val="0"/>
          <w:szCs w:val="21"/>
          <w:lang w:val="en-US" w:eastAsia="zh-CN"/>
        </w:rPr>
        <w:t>代销渠道</w:t>
      </w:r>
      <w:r>
        <w:rPr>
          <w:rFonts w:hint="eastAsia" w:cs="宋体" w:asciiTheme="minorEastAsia" w:hAnsiTheme="minorEastAsia"/>
          <w:kern w:val="0"/>
          <w:szCs w:val="21"/>
        </w:rPr>
        <w:t>的申购（含</w:t>
      </w:r>
      <w:r>
        <w:rPr>
          <w:rFonts w:hint="eastAsia" w:cs="宋体" w:asciiTheme="minorEastAsia" w:hAnsiTheme="minorEastAsia"/>
          <w:kern w:val="0"/>
          <w:szCs w:val="21"/>
          <w:lang w:val="en-US" w:eastAsia="zh-CN"/>
        </w:rPr>
        <w:t>定期定额投资</w:t>
      </w:r>
      <w:r>
        <w:rPr>
          <w:rFonts w:hint="eastAsia" w:cs="宋体" w:asciiTheme="minorEastAsia" w:hAnsiTheme="minorEastAsia"/>
          <w:kern w:val="0"/>
          <w:szCs w:val="21"/>
        </w:rPr>
        <w:t>）</w:t>
      </w:r>
      <w:r>
        <w:rPr>
          <w:rFonts w:hint="eastAsia" w:cs="宋体" w:asciiTheme="minorEastAsia" w:hAnsiTheme="minorEastAsia"/>
          <w:kern w:val="0"/>
          <w:szCs w:val="21"/>
          <w:lang w:eastAsia="zh-CN"/>
        </w:rPr>
        <w:t>、</w:t>
      </w:r>
      <w:r>
        <w:rPr>
          <w:rFonts w:hint="eastAsia" w:cs="宋体" w:asciiTheme="minorEastAsia" w:hAnsiTheme="minorEastAsia"/>
          <w:kern w:val="0"/>
          <w:szCs w:val="21"/>
          <w:lang w:val="en-US" w:eastAsia="zh-CN"/>
        </w:rPr>
        <w:t>转换转入</w:t>
      </w:r>
      <w:r>
        <w:rPr>
          <w:rFonts w:hint="eastAsia" w:cs="宋体" w:asciiTheme="minorEastAsia" w:hAnsiTheme="minorEastAsia"/>
          <w:kern w:val="0"/>
          <w:szCs w:val="21"/>
        </w:rPr>
        <w:t>进行大额</w:t>
      </w:r>
      <w:r>
        <w:rPr>
          <w:rFonts w:hint="eastAsia" w:cs="宋体" w:asciiTheme="minorEastAsia" w:hAnsiTheme="minorEastAsia"/>
          <w:kern w:val="0"/>
          <w:szCs w:val="21"/>
          <w:lang w:val="en-US" w:eastAsia="zh-CN"/>
        </w:rPr>
        <w:t>限制</w:t>
      </w:r>
      <w:r>
        <w:rPr>
          <w:rFonts w:hint="eastAsia" w:cs="宋体" w:asciiTheme="minorEastAsia" w:hAnsiTheme="minorEastAsia"/>
          <w:kern w:val="0"/>
          <w:szCs w:val="21"/>
        </w:rPr>
        <w:t>，单日单个基金账户累计申购（含</w:t>
      </w:r>
      <w:r>
        <w:rPr>
          <w:rFonts w:hint="eastAsia" w:cs="宋体" w:asciiTheme="minorEastAsia" w:hAnsiTheme="minorEastAsia"/>
          <w:kern w:val="0"/>
          <w:szCs w:val="21"/>
          <w:lang w:val="en-US" w:eastAsia="zh-CN"/>
        </w:rPr>
        <w:t>定期定额投资</w:t>
      </w:r>
      <w:r>
        <w:rPr>
          <w:rFonts w:hint="eastAsia" w:cs="宋体" w:asciiTheme="minorEastAsia" w:hAnsiTheme="minorEastAsia"/>
          <w:kern w:val="0"/>
          <w:szCs w:val="21"/>
        </w:rPr>
        <w:t>）</w:t>
      </w:r>
      <w:r>
        <w:rPr>
          <w:rFonts w:hint="eastAsia" w:cs="宋体" w:asciiTheme="minorEastAsia" w:hAnsiTheme="minorEastAsia"/>
          <w:kern w:val="0"/>
          <w:szCs w:val="21"/>
          <w:lang w:eastAsia="zh-CN"/>
        </w:rPr>
        <w:t>、</w:t>
      </w:r>
      <w:r>
        <w:rPr>
          <w:rFonts w:hint="eastAsia" w:cs="宋体" w:asciiTheme="minorEastAsia" w:hAnsiTheme="minorEastAsia"/>
          <w:kern w:val="0"/>
          <w:szCs w:val="21"/>
          <w:lang w:val="en-US" w:eastAsia="zh-CN"/>
        </w:rPr>
        <w:t>转换转入</w:t>
      </w:r>
      <w:r>
        <w:rPr>
          <w:rFonts w:hint="eastAsia" w:cs="宋体" w:asciiTheme="minorEastAsia" w:hAnsiTheme="minorEastAsia"/>
          <w:kern w:val="0"/>
          <w:szCs w:val="21"/>
        </w:rPr>
        <w:t>的最高金额为50万元（含），即如单日单个基金账户累计申购（含</w:t>
      </w:r>
      <w:r>
        <w:rPr>
          <w:rFonts w:hint="eastAsia" w:cs="宋体" w:asciiTheme="minorEastAsia" w:hAnsiTheme="minorEastAsia"/>
          <w:kern w:val="0"/>
          <w:szCs w:val="21"/>
          <w:lang w:val="en-US" w:eastAsia="zh-CN"/>
        </w:rPr>
        <w:t>定期定额投资</w:t>
      </w:r>
      <w:r>
        <w:rPr>
          <w:rFonts w:hint="eastAsia" w:cs="宋体" w:asciiTheme="minorEastAsia" w:hAnsiTheme="minorEastAsia"/>
          <w:kern w:val="0"/>
          <w:szCs w:val="21"/>
        </w:rPr>
        <w:t>）</w:t>
      </w:r>
      <w:r>
        <w:rPr>
          <w:rFonts w:hint="eastAsia" w:cs="宋体" w:asciiTheme="minorEastAsia" w:hAnsiTheme="minorEastAsia"/>
          <w:kern w:val="0"/>
          <w:szCs w:val="21"/>
          <w:lang w:eastAsia="zh-CN"/>
        </w:rPr>
        <w:t>、</w:t>
      </w:r>
      <w:r>
        <w:rPr>
          <w:rFonts w:hint="eastAsia" w:cs="宋体" w:asciiTheme="minorEastAsia" w:hAnsiTheme="minorEastAsia"/>
          <w:kern w:val="0"/>
          <w:szCs w:val="21"/>
          <w:lang w:val="en-US" w:eastAsia="zh-CN"/>
        </w:rPr>
        <w:t>转换转入</w:t>
      </w:r>
      <w:r>
        <w:rPr>
          <w:rFonts w:hint="eastAsia" w:cs="宋体" w:asciiTheme="minorEastAsia" w:hAnsiTheme="minorEastAsia"/>
          <w:kern w:val="0"/>
          <w:szCs w:val="21"/>
        </w:rPr>
        <w:t>基金份额的金额超过50万元，本基金管理人有权全部或部分拒绝该申请。</w:t>
      </w:r>
    </w:p>
    <w:p w14:paraId="01F4DB51">
      <w:pPr>
        <w:widowControl/>
        <w:spacing w:line="360" w:lineRule="auto"/>
        <w:ind w:firstLine="420"/>
        <w:jc w:val="left"/>
        <w:rPr>
          <w:rFonts w:cs="宋体" w:asciiTheme="minorEastAsia" w:hAnsiTheme="minorEastAsia"/>
          <w:kern w:val="0"/>
          <w:szCs w:val="21"/>
          <w:highlight w:val="none"/>
        </w:rPr>
      </w:pPr>
      <w:r>
        <w:rPr>
          <w:rFonts w:hint="eastAsia" w:cs="宋体" w:asciiTheme="minorEastAsia" w:hAnsiTheme="minorEastAsia"/>
          <w:kern w:val="0"/>
          <w:szCs w:val="21"/>
        </w:rPr>
        <w:t>（2）在暂停本基金</w:t>
      </w:r>
      <w:r>
        <w:rPr>
          <w:rFonts w:hint="eastAsia" w:cs="宋体" w:asciiTheme="minorEastAsia" w:hAnsiTheme="minorEastAsia"/>
          <w:kern w:val="0"/>
          <w:szCs w:val="21"/>
          <w:lang w:val="en-US" w:eastAsia="zh-CN"/>
        </w:rPr>
        <w:t>代销渠道</w:t>
      </w:r>
      <w:r>
        <w:rPr>
          <w:rFonts w:hint="eastAsia" w:cs="宋体" w:asciiTheme="minorEastAsia" w:hAnsiTheme="minorEastAsia"/>
          <w:kern w:val="0"/>
          <w:szCs w:val="21"/>
        </w:rPr>
        <w:t>大额申购（含定期定额投资）和转换转入业务期间，本基金单日单个基金账户累计金额</w:t>
      </w:r>
      <w:r>
        <w:rPr>
          <w:rFonts w:cs="宋体" w:asciiTheme="minorEastAsia" w:hAnsiTheme="minorEastAsia"/>
          <w:kern w:val="0"/>
          <w:szCs w:val="21"/>
        </w:rPr>
        <w:t>50</w:t>
      </w:r>
      <w:r>
        <w:rPr>
          <w:rFonts w:hint="eastAsia" w:cs="宋体" w:asciiTheme="minorEastAsia" w:hAnsiTheme="minorEastAsia"/>
          <w:kern w:val="0"/>
          <w:szCs w:val="21"/>
        </w:rPr>
        <w:t>万元（含）以下的申购（含定期定额投资）和转换转入业务</w:t>
      </w:r>
      <w:r>
        <w:rPr>
          <w:rFonts w:hint="eastAsia" w:cs="宋体" w:asciiTheme="minorEastAsia" w:hAnsiTheme="minorEastAsia"/>
          <w:kern w:val="0"/>
          <w:szCs w:val="21"/>
          <w:highlight w:val="none"/>
        </w:rPr>
        <w:t>以及赎回、转换转出等业务正常办理。</w:t>
      </w:r>
    </w:p>
    <w:p w14:paraId="0FDE2C7B">
      <w:pPr>
        <w:widowControl/>
        <w:spacing w:line="360" w:lineRule="auto"/>
        <w:ind w:firstLine="420"/>
        <w:jc w:val="left"/>
        <w:rPr>
          <w:rFonts w:cs="宋体" w:asciiTheme="minorEastAsia" w:hAnsiTheme="minorEastAsia"/>
          <w:kern w:val="0"/>
          <w:szCs w:val="21"/>
        </w:rPr>
      </w:pPr>
      <w:r>
        <w:rPr>
          <w:rFonts w:hint="eastAsia" w:cs="宋体" w:asciiTheme="minorEastAsia" w:hAnsiTheme="minorEastAsia"/>
          <w:kern w:val="0"/>
          <w:szCs w:val="21"/>
          <w:highlight w:val="none"/>
        </w:rPr>
        <w:t>（3）20</w:t>
      </w:r>
      <w:r>
        <w:rPr>
          <w:rFonts w:hint="eastAsia" w:cs="宋体" w:asciiTheme="minorEastAsia" w:hAnsiTheme="minorEastAsia"/>
          <w:kern w:val="0"/>
          <w:szCs w:val="21"/>
          <w:highlight w:val="none"/>
          <w:lang w:val="en-US" w:eastAsia="zh-CN"/>
        </w:rPr>
        <w:t>26</w:t>
      </w:r>
      <w:r>
        <w:rPr>
          <w:rFonts w:hint="eastAsia" w:cs="宋体" w:asciiTheme="minorEastAsia" w:hAnsiTheme="minorEastAsia"/>
          <w:kern w:val="0"/>
          <w:szCs w:val="21"/>
          <w:highlight w:val="none"/>
        </w:rPr>
        <w:t>年</w:t>
      </w:r>
      <w:r>
        <w:rPr>
          <w:rFonts w:hint="eastAsia" w:cs="宋体" w:asciiTheme="minorEastAsia" w:hAnsiTheme="minorEastAsia"/>
          <w:kern w:val="0"/>
          <w:szCs w:val="21"/>
          <w:highlight w:val="none"/>
          <w:lang w:val="en-US" w:eastAsia="zh-CN"/>
        </w:rPr>
        <w:t>10</w:t>
      </w:r>
      <w:r>
        <w:rPr>
          <w:rFonts w:hint="eastAsia" w:cs="宋体" w:asciiTheme="minorEastAsia" w:hAnsiTheme="minorEastAsia"/>
          <w:kern w:val="0"/>
          <w:szCs w:val="21"/>
          <w:highlight w:val="none"/>
        </w:rPr>
        <w:t>月</w:t>
      </w:r>
      <w:r>
        <w:rPr>
          <w:rFonts w:hint="eastAsia" w:cs="宋体" w:asciiTheme="minorEastAsia" w:hAnsiTheme="minorEastAsia"/>
          <w:kern w:val="0"/>
          <w:szCs w:val="21"/>
          <w:highlight w:val="none"/>
          <w:lang w:val="en-US" w:eastAsia="zh-CN"/>
        </w:rPr>
        <w:t>30</w:t>
      </w:r>
      <w:r>
        <w:rPr>
          <w:rFonts w:hint="eastAsia" w:cs="宋体" w:asciiTheme="minorEastAsia" w:hAnsiTheme="minorEastAsia"/>
          <w:kern w:val="0"/>
          <w:szCs w:val="21"/>
          <w:highlight w:val="none"/>
        </w:rPr>
        <w:t>日起恢复本基金的</w:t>
      </w:r>
      <w:r>
        <w:rPr>
          <w:rFonts w:hint="eastAsia" w:cs="宋体" w:asciiTheme="minorEastAsia" w:hAnsiTheme="minorEastAsia"/>
          <w:kern w:val="0"/>
          <w:szCs w:val="21"/>
        </w:rPr>
        <w:t>大额申购(含定期定额投资)和转换转入业务</w:t>
      </w:r>
      <w:r>
        <w:rPr>
          <w:rFonts w:hint="eastAsia" w:cs="宋体" w:asciiTheme="minorEastAsia" w:hAnsiTheme="minorEastAsia"/>
          <w:kern w:val="0"/>
          <w:szCs w:val="21"/>
          <w:lang w:eastAsia="zh-CN"/>
        </w:rPr>
        <w:t>：</w:t>
      </w:r>
      <w:r>
        <w:rPr>
          <w:rFonts w:hint="eastAsia" w:cs="宋体" w:asciiTheme="minorEastAsia" w:hAnsiTheme="minorEastAsia"/>
          <w:kern w:val="0"/>
          <w:szCs w:val="21"/>
        </w:rPr>
        <w:t>单一投资者单日申购金额不超过1000万元（公募资产管理产品除外）</w:t>
      </w:r>
      <w:r>
        <w:rPr>
          <w:rFonts w:hint="eastAsia" w:cs="宋体" w:asciiTheme="minorEastAsia" w:hAnsiTheme="minorEastAsia"/>
          <w:kern w:val="0"/>
          <w:szCs w:val="21"/>
          <w:lang w:eastAsia="zh-CN"/>
        </w:rPr>
        <w:t>，</w:t>
      </w:r>
      <w:r>
        <w:rPr>
          <w:rFonts w:hint="eastAsia" w:cs="宋体" w:asciiTheme="minorEastAsia" w:hAnsiTheme="minorEastAsia"/>
          <w:kern w:val="0"/>
          <w:szCs w:val="21"/>
          <w:lang w:val="en-US" w:eastAsia="zh-CN"/>
        </w:rPr>
        <w:t>详见《</w:t>
      </w:r>
      <w:r>
        <w:rPr>
          <w:rFonts w:hint="eastAsia" w:cs="宋体" w:asciiTheme="minorEastAsia" w:hAnsiTheme="minorEastAsia"/>
          <w:kern w:val="0"/>
          <w:szCs w:val="21"/>
        </w:rPr>
        <w:t>方正富邦中证同业存单AAA指数7天持有期证券投资基金招募说明书</w:t>
      </w:r>
      <w:r>
        <w:rPr>
          <w:rFonts w:hint="eastAsia" w:cs="宋体" w:asciiTheme="minorEastAsia" w:hAnsiTheme="minorEastAsia"/>
          <w:kern w:val="0"/>
          <w:szCs w:val="21"/>
          <w:lang w:val="en-US" w:eastAsia="zh-CN"/>
        </w:rPr>
        <w:t>》“第八部分 基金份额的申购与赎回”章节</w:t>
      </w:r>
      <w:r>
        <w:rPr>
          <w:rFonts w:hint="eastAsia" w:cs="宋体" w:asciiTheme="minorEastAsia" w:hAnsiTheme="minorEastAsia"/>
          <w:kern w:val="0"/>
          <w:szCs w:val="21"/>
        </w:rPr>
        <w:t>，届时将不再另行公告。</w:t>
      </w:r>
    </w:p>
    <w:p w14:paraId="1B4CA273">
      <w:pPr>
        <w:widowControl/>
        <w:spacing w:line="360" w:lineRule="auto"/>
        <w:ind w:firstLine="420"/>
        <w:jc w:val="left"/>
        <w:rPr>
          <w:rFonts w:cs="宋体" w:asciiTheme="minorEastAsia" w:hAnsiTheme="minorEastAsia"/>
          <w:kern w:val="0"/>
          <w:szCs w:val="21"/>
        </w:rPr>
      </w:pPr>
      <w:r>
        <w:rPr>
          <w:rFonts w:hint="eastAsia" w:cs="宋体" w:asciiTheme="minorEastAsia" w:hAnsiTheme="minorEastAsia"/>
          <w:kern w:val="0"/>
          <w:szCs w:val="21"/>
        </w:rPr>
        <w:t>（4）如有疑问，请拨打本公司客户服务电话400-818-0990或登录本公司网站www.founderff.com获取相关信息。</w:t>
      </w:r>
    </w:p>
    <w:p w14:paraId="3E6888E2">
      <w:pPr>
        <w:widowControl/>
        <w:spacing w:line="360" w:lineRule="auto"/>
        <w:ind w:firstLine="420"/>
        <w:jc w:val="left"/>
        <w:rPr>
          <w:rFonts w:cs="宋体" w:asciiTheme="minorEastAsia" w:hAnsiTheme="minorEastAsia"/>
          <w:kern w:val="0"/>
          <w:szCs w:val="21"/>
        </w:rPr>
      </w:pPr>
      <w:r>
        <w:rPr>
          <w:rFonts w:hint="eastAsia" w:cs="宋体" w:asciiTheme="minorEastAsia" w:hAnsiTheme="minorEastAsia"/>
          <w:kern w:val="0"/>
          <w:szCs w:val="21"/>
        </w:rPr>
        <w:t>风险提示：基金管理人承诺以恪尽职守、诚实信用、谨慎勤勉的原则管理和运用基金资产，但不保证基金一定盈利，也不保证最低收益。基金的过往业绩并不代表其未来表现。基金管理人管理的其他基金的业绩不构成基金业绩表现的保证。投资者应当充分了解基金定期定额投资和零存整取等储蓄方式的区别。定期定额投资并不能规避基金投资所固有的风险，且不能保证投资者获得收益，也不是替代储蓄的等效理财方式。基金管理人提醒投资者在做出投资决策前应全面了解基金的产品特性并充分考虑自身的风险承受能力，理性判断市场，投资者自行承担基金运营状况与基金净值变化引致的投资风险。投资有风险，选择须谨慎。敬请投资者于投资前认真阅读基金的基金合同、最新招募说明书及其他法律文件。</w:t>
      </w:r>
    </w:p>
    <w:p w14:paraId="195251B2">
      <w:pPr>
        <w:widowControl/>
        <w:spacing w:line="360" w:lineRule="auto"/>
        <w:ind w:firstLine="420"/>
        <w:jc w:val="left"/>
        <w:rPr>
          <w:rFonts w:cs="宋体" w:asciiTheme="minorEastAsia" w:hAnsiTheme="minorEastAsia"/>
          <w:kern w:val="0"/>
          <w:szCs w:val="21"/>
        </w:rPr>
      </w:pPr>
      <w:r>
        <w:rPr>
          <w:rFonts w:hint="eastAsia" w:cs="宋体" w:asciiTheme="minorEastAsia" w:hAnsiTheme="minorEastAsia"/>
          <w:kern w:val="0"/>
          <w:szCs w:val="21"/>
        </w:rPr>
        <w:t>特此公告。</w:t>
      </w:r>
    </w:p>
    <w:p w14:paraId="13A3E38A">
      <w:pPr>
        <w:widowControl/>
        <w:spacing w:line="360" w:lineRule="auto"/>
        <w:ind w:firstLine="420"/>
        <w:jc w:val="right"/>
        <w:rPr>
          <w:rFonts w:hint="eastAsia" w:cs="宋体" w:asciiTheme="minorEastAsia" w:hAnsiTheme="minorEastAsia"/>
          <w:b/>
          <w:bCs/>
          <w:kern w:val="0"/>
          <w:szCs w:val="21"/>
          <w:highlight w:val="none"/>
        </w:rPr>
      </w:pPr>
    </w:p>
    <w:p w14:paraId="09242F81">
      <w:pPr>
        <w:widowControl/>
        <w:spacing w:line="360" w:lineRule="auto"/>
        <w:ind w:firstLine="420"/>
        <w:jc w:val="right"/>
        <w:rPr>
          <w:rFonts w:cs="宋体" w:asciiTheme="minorEastAsia" w:hAnsiTheme="minorEastAsia"/>
          <w:kern w:val="0"/>
          <w:szCs w:val="21"/>
          <w:highlight w:val="none"/>
        </w:rPr>
      </w:pPr>
      <w:r>
        <w:rPr>
          <w:rFonts w:hint="eastAsia" w:cs="宋体" w:asciiTheme="minorEastAsia" w:hAnsiTheme="minorEastAsia"/>
          <w:b/>
          <w:bCs/>
          <w:kern w:val="0"/>
          <w:szCs w:val="21"/>
          <w:highlight w:val="none"/>
        </w:rPr>
        <w:t>方正富邦基金管理有限公司</w:t>
      </w:r>
    </w:p>
    <w:p w14:paraId="32AA5710">
      <w:pPr>
        <w:widowControl/>
        <w:spacing w:line="360" w:lineRule="auto"/>
        <w:ind w:firstLine="420"/>
        <w:jc w:val="right"/>
        <w:rPr>
          <w:rFonts w:cs="宋体" w:asciiTheme="minorEastAsia" w:hAnsiTheme="minorEastAsia"/>
          <w:kern w:val="0"/>
          <w:szCs w:val="21"/>
          <w:highlight w:val="none"/>
        </w:rPr>
      </w:pPr>
      <w:r>
        <w:rPr>
          <w:rFonts w:hint="eastAsia" w:cs="宋体" w:asciiTheme="minorEastAsia" w:hAnsiTheme="minorEastAsia"/>
          <w:b/>
          <w:bCs/>
          <w:kern w:val="0"/>
          <w:szCs w:val="21"/>
          <w:highlight w:val="none"/>
          <w:lang w:val="en-US" w:eastAsia="zh-CN"/>
        </w:rPr>
        <w:t>2026</w:t>
      </w:r>
      <w:r>
        <w:rPr>
          <w:rFonts w:hint="eastAsia" w:cs="宋体" w:asciiTheme="minorEastAsia" w:hAnsiTheme="minorEastAsia"/>
          <w:b/>
          <w:bCs/>
          <w:kern w:val="0"/>
          <w:szCs w:val="21"/>
          <w:highlight w:val="none"/>
        </w:rPr>
        <w:t>年</w:t>
      </w:r>
      <w:r>
        <w:rPr>
          <w:rFonts w:hint="eastAsia" w:cs="宋体" w:asciiTheme="minorEastAsia" w:hAnsiTheme="minorEastAsia"/>
          <w:b/>
          <w:bCs/>
          <w:kern w:val="0"/>
          <w:szCs w:val="21"/>
          <w:highlight w:val="none"/>
          <w:lang w:val="en-US" w:eastAsia="zh-CN"/>
        </w:rPr>
        <w:t>10</w:t>
      </w:r>
      <w:r>
        <w:rPr>
          <w:rFonts w:hint="eastAsia" w:cs="宋体" w:asciiTheme="minorEastAsia" w:hAnsiTheme="minorEastAsia"/>
          <w:b/>
          <w:bCs/>
          <w:kern w:val="0"/>
          <w:szCs w:val="21"/>
          <w:highlight w:val="none"/>
        </w:rPr>
        <w:t>月</w:t>
      </w:r>
      <w:r>
        <w:rPr>
          <w:rFonts w:hint="eastAsia" w:cs="宋体" w:asciiTheme="minorEastAsia" w:hAnsiTheme="minorEastAsia"/>
          <w:b/>
          <w:bCs/>
          <w:kern w:val="0"/>
          <w:szCs w:val="21"/>
          <w:highlight w:val="none"/>
          <w:lang w:val="en-US" w:eastAsia="zh-CN"/>
        </w:rPr>
        <w:t>28</w:t>
      </w:r>
      <w:bookmarkStart w:id="0" w:name="_GoBack"/>
      <w:bookmarkEnd w:id="0"/>
      <w:r>
        <w:rPr>
          <w:rFonts w:hint="eastAsia" w:cs="宋体" w:asciiTheme="minorEastAsia" w:hAnsiTheme="minorEastAsia"/>
          <w:b/>
          <w:bCs/>
          <w:kern w:val="0"/>
          <w:szCs w:val="21"/>
          <w:highlight w:val="none"/>
        </w:rPr>
        <w:t>日</w:t>
      </w:r>
    </w:p>
    <w:p w14:paraId="36A0072E">
      <w:pPr>
        <w:rPr>
          <w:rFonts w:asciiTheme="minorEastAsia" w:hAnsiTheme="minor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Q5MmVmMTk0ZGI4MjU1N2RkNTlkNjZjYTM4N2FiMzIifQ=="/>
  </w:docVars>
  <w:rsids>
    <w:rsidRoot w:val="007664B7"/>
    <w:rsid w:val="00010CA9"/>
    <w:rsid w:val="00142730"/>
    <w:rsid w:val="00156E72"/>
    <w:rsid w:val="001843CA"/>
    <w:rsid w:val="00222B8B"/>
    <w:rsid w:val="00235D73"/>
    <w:rsid w:val="002802AD"/>
    <w:rsid w:val="00297293"/>
    <w:rsid w:val="002E69A3"/>
    <w:rsid w:val="00327CAC"/>
    <w:rsid w:val="0038389E"/>
    <w:rsid w:val="003969B7"/>
    <w:rsid w:val="003F4A55"/>
    <w:rsid w:val="0040283D"/>
    <w:rsid w:val="004623A9"/>
    <w:rsid w:val="004D6609"/>
    <w:rsid w:val="004F4914"/>
    <w:rsid w:val="00542AFE"/>
    <w:rsid w:val="00587480"/>
    <w:rsid w:val="005D4CD6"/>
    <w:rsid w:val="005E7B4A"/>
    <w:rsid w:val="00602B8C"/>
    <w:rsid w:val="007112C5"/>
    <w:rsid w:val="00762518"/>
    <w:rsid w:val="007664B7"/>
    <w:rsid w:val="00766C67"/>
    <w:rsid w:val="00770065"/>
    <w:rsid w:val="007F1AF6"/>
    <w:rsid w:val="00860532"/>
    <w:rsid w:val="0086305C"/>
    <w:rsid w:val="008925D9"/>
    <w:rsid w:val="008A1A89"/>
    <w:rsid w:val="008B7CEA"/>
    <w:rsid w:val="008D1540"/>
    <w:rsid w:val="008F3720"/>
    <w:rsid w:val="0092317B"/>
    <w:rsid w:val="0093449F"/>
    <w:rsid w:val="00947429"/>
    <w:rsid w:val="0095154B"/>
    <w:rsid w:val="00960665"/>
    <w:rsid w:val="009E2082"/>
    <w:rsid w:val="00A40B81"/>
    <w:rsid w:val="00A82BD7"/>
    <w:rsid w:val="00AA4F81"/>
    <w:rsid w:val="00B52600"/>
    <w:rsid w:val="00B62963"/>
    <w:rsid w:val="00BF6579"/>
    <w:rsid w:val="00C6172D"/>
    <w:rsid w:val="00CA1562"/>
    <w:rsid w:val="00CB1052"/>
    <w:rsid w:val="00CE15C6"/>
    <w:rsid w:val="00D9181F"/>
    <w:rsid w:val="00DE66C3"/>
    <w:rsid w:val="00DF2DB6"/>
    <w:rsid w:val="00E30FBA"/>
    <w:rsid w:val="00E42314"/>
    <w:rsid w:val="00EF7C74"/>
    <w:rsid w:val="00FC75A3"/>
    <w:rsid w:val="00FD6AF0"/>
    <w:rsid w:val="01185DB3"/>
    <w:rsid w:val="01C147C7"/>
    <w:rsid w:val="03C14E09"/>
    <w:rsid w:val="07A76AFB"/>
    <w:rsid w:val="0BAC5E73"/>
    <w:rsid w:val="0C2764E2"/>
    <w:rsid w:val="0DF26DDF"/>
    <w:rsid w:val="16AC0CF0"/>
    <w:rsid w:val="16CF0237"/>
    <w:rsid w:val="1A39272A"/>
    <w:rsid w:val="1AAD41BA"/>
    <w:rsid w:val="1B414750"/>
    <w:rsid w:val="1D323462"/>
    <w:rsid w:val="21696352"/>
    <w:rsid w:val="219C731C"/>
    <w:rsid w:val="287B4FF2"/>
    <w:rsid w:val="2B234242"/>
    <w:rsid w:val="2CE43D52"/>
    <w:rsid w:val="31F6203D"/>
    <w:rsid w:val="35A554CB"/>
    <w:rsid w:val="35CB2F92"/>
    <w:rsid w:val="38431D54"/>
    <w:rsid w:val="41C335D7"/>
    <w:rsid w:val="426A40AF"/>
    <w:rsid w:val="448B4F61"/>
    <w:rsid w:val="453B0881"/>
    <w:rsid w:val="49AE45FF"/>
    <w:rsid w:val="4C624CC0"/>
    <w:rsid w:val="4C7D53DD"/>
    <w:rsid w:val="4EC85336"/>
    <w:rsid w:val="50D650BC"/>
    <w:rsid w:val="52E87329"/>
    <w:rsid w:val="5C8512CA"/>
    <w:rsid w:val="61205699"/>
    <w:rsid w:val="61E87E5D"/>
    <w:rsid w:val="622E3460"/>
    <w:rsid w:val="64D625DA"/>
    <w:rsid w:val="679C7C23"/>
    <w:rsid w:val="68A179BB"/>
    <w:rsid w:val="6AC41FD2"/>
    <w:rsid w:val="6B9E5C5C"/>
    <w:rsid w:val="6BF941F2"/>
    <w:rsid w:val="6D5D1754"/>
    <w:rsid w:val="73D46CB4"/>
    <w:rsid w:val="74AD3259"/>
    <w:rsid w:val="76B523F3"/>
    <w:rsid w:val="7BA72B89"/>
    <w:rsid w:val="7F8F0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jc w:val="left"/>
    </w:pPr>
    <w:rPr>
      <w:rFonts w:ascii="微软雅黑" w:hAnsi="微软雅黑" w:eastAsia="微软雅黑" w:cs="宋体"/>
      <w:kern w:val="0"/>
      <w:sz w:val="24"/>
      <w:szCs w:val="24"/>
    </w:rPr>
  </w:style>
  <w:style w:type="character" w:styleId="8">
    <w:name w:val="Strong"/>
    <w:basedOn w:val="7"/>
    <w:qFormat/>
    <w:uiPriority w:val="22"/>
    <w:rPr>
      <w:b/>
      <w:bCs/>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AE904-D804-43B0-B315-78A67A77C65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1271</Words>
  <Characters>1397</Characters>
  <Lines>10</Lines>
  <Paragraphs>2</Paragraphs>
  <TotalTime>95</TotalTime>
  <ScaleCrop>false</ScaleCrop>
  <LinksUpToDate>false</LinksUpToDate>
  <CharactersWithSpaces>1401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2019-05-07T09:14:00Z</dcterms:created>
  <dc:creator>王宏微</dc:creator>
  <cp:lastModifiedBy>w</cp:lastModifiedBy>
  <dcterms:modified xsi:type="dcterms:W3CDTF">2026-10-26T02:11:18Z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DB844BAD163C484CB62D74E7B742EF60</vt:lpwstr>
  </property>
  <property fmtid="{D5CDD505-2E9C-101B-9397-08002B2CF9AE}" pid="4" name="KSOTemplateDocerSaveRecord">
    <vt:lpwstr>eyJoZGlkIjoiOWQ2ZWExMDIwMTAyNTlkY2I3MDQ0MGE2NzkwYzQ5NGQiLCJ1c2VySWQiOiIzOTY0NjQyMTcifQ==</vt:lpwstr>
  </property>
</Properties>
</file>